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 w:name="homiletics-analysis-habakkuk-3"/>
    <w:p>
      <w:pPr>
        <w:pStyle w:val="Heading1"/>
      </w:pPr>
      <w:r>
        <w:t xml:space="preserve">Homiletics Analysis: Habakkuk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Habakkuk 3 is the prophet’s prayer-psalm in response to the divine revelation received in chapters 1–2. Having wrestled with God over the silence of heaven amid Judah’s sin (ch. 1) and the even more troubling use of Babylon as God’s instrument of judgment (ch. 1–2), Habakkuk now prays with full theological resolution. The chapter opens with a formal superscription marking it as a</w:t>
      </w:r>
      <w:r>
        <w:t xml:space="preserve"> </w:t>
      </w:r>
      <w:r>
        <w:rPr>
          <w:i/>
          <w:iCs/>
        </w:rPr>
        <w:t xml:space="preserve">shigionoth</w:t>
      </w:r>
      <w:r>
        <w:t xml:space="preserve"> </w:t>
      </w:r>
      <w:r>
        <w:t xml:space="preserve">(a liturgical composition of passionate, irregular movement), followed by Habakkuk’s petition that God act</w:t>
      </w:r>
      <w:r>
        <w:t xml:space="preserve"> </w:t>
      </w:r>
      <w:r>
        <w:t xml:space="preserve">“in the midst of the years”</w:t>
      </w:r>
      <w:r>
        <w:t xml:space="preserve"> </w:t>
      </w:r>
      <w:r>
        <w:t xml:space="preserve">with both wrath and mercy (v. 2). The body of the prayer (vv. 3–15) is a theophanic vision of cosmic proportions — God advancing from Teman and Mount Paran as a warrior whose glory fills creation, who halts the sun and moon, who wades through sea and river in sovereign fury to deliver His people. The references to Cushan, Midian, Bashan, and the Deep evoke the Exodus and conquest traditions: this is what God has done; this is what He will do again. The prayer closes (vv. 16–19) with one of Scripture’s most arresting confessions — Habakkuk’s body trembling, his lips quivering, his bones rotting with dread — and yet the deliberate, steel-willed choice to wait on God, to rejoice in the LORD even when every external sign of blessing has been stripped away. The fig tree has no fruit, the vine no grapes, the fields no harvest, the flock no sheep — and yet:</w:t>
      </w:r>
      <w:r>
        <w:t xml:space="preserve"> </w:t>
      </w:r>
      <w:r>
        <w:rPr>
          <w:i/>
          <w:iCs/>
        </w:rPr>
        <w:t xml:space="preserve">I will rejoice in the LORD, I will joy in the God of my salvation.</w:t>
      </w:r>
    </w:p>
    <w:p>
      <w:pPr>
        <w:pStyle w:val="BodyText"/>
      </w:pPr>
      <w:r>
        <w:rPr>
          <w:b/>
          <w:bCs/>
        </w:rPr>
        <w:t xml:space="preserve">This Text — Intent:</w:t>
      </w:r>
    </w:p>
    <w:p>
      <w:pPr>
        <w:pStyle w:val="BodyText"/>
      </w:pPr>
      <w:r>
        <w:t xml:space="preserve">God’s intent through this passage is to call His people to a faith that holds when external circumstances give no empirical warrant for holding. The theophanic vision is not abstract theology — it is the ground of the closing confession. Habakkuk does not manufacture joy from nothing; he grounds it in the demonstrated sovereignty and redemptive faithfulness of the God who has acted before and will act again. God is seeking to move the reader from a faith dependent on visible evidence and felt provision to a faith anchored in the character and covenant-history of God Himself. The intended effect is not mere cognitive assent to divine sovereignty but a radical reorientation of the soul’s worship — joy in God as God, not joy in God’s gifts.</w:t>
      </w:r>
    </w:p>
    <w:p>
      <w:r>
        <w:pict>
          <v:rect style="width:0;height:1.5pt" o:hralign="center" o:hrstd="t" o:hr="t"/>
        </w:pict>
      </w:r>
    </w:p>
    <w:p>
      <w:pPr>
        <w:pStyle w:val="FirstParagraph"/>
      </w:pPr>
      <w:r>
        <w:rPr>
          <w:b/>
          <w:bCs/>
        </w:rPr>
        <w:t xml:space="preserve">Subject Sentence:</w:t>
      </w:r>
    </w:p>
    <w:p>
      <w:pPr>
        <w:pStyle w:val="BodyText"/>
      </w:pPr>
      <w:r>
        <w:t xml:space="preserve">The prophet’s theophanic vision grounds an unwavering, stripped-bare joy in God alone.</w:t>
      </w:r>
    </w:p>
    <w:p>
      <w:r>
        <w:pict>
          <v:rect style="width:0;height:1.5pt" o:hralign="center" o:hrstd="t" o:hr="t"/>
        </w:pict>
      </w:r>
    </w:p>
    <w:p>
      <w:pPr>
        <w:pStyle w:val="FirstParagraph"/>
      </w:pPr>
      <w:r>
        <w:rPr>
          <w:b/>
          <w:bCs/>
        </w:rPr>
        <w:t xml:space="preserve">Primary Claim:</w:t>
      </w:r>
    </w:p>
    <w:p>
      <w:pPr>
        <w:pStyle w:val="BodyText"/>
      </w:pPr>
      <w:r>
        <w:t xml:space="preserve">God is calling His people to a worship that does not require circumstances to cooperate — a joy rooted not in what He gives but in who He is, secured by what He has already done in history.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theophanic vision (vv. 3–15): historical recollection or future prophecy?</w:t>
      </w:r>
    </w:p>
    <w:p>
      <w:pPr>
        <w:pStyle w:val="BodyText"/>
      </w:pPr>
      <w:r>
        <w:t xml:space="preserve">Interpreters disagree on whether the vision of God advancing as warrior describes God’s past acts (especially the Exodus and conquest) or a future eschatological intervention. Some dispensational and futurist interpreters read vv. 3–15 as primarily prophetic, pointing toward end-times divine judgment. The Reformed reading, grounded in the parallels to Deuteronomy 33, Judges 5, Psalm 68, and Psalm 77, understands the vision primarily as a</w:t>
      </w:r>
      <w:r>
        <w:t xml:space="preserve"> </w:t>
      </w:r>
      <w:r>
        <w:rPr>
          <w:i/>
          <w:iCs/>
        </w:rPr>
        <w:t xml:space="preserve">recitation</w:t>
      </w:r>
      <w:r>
        <w:t xml:space="preserve"> </w:t>
      </w:r>
      <w:r>
        <w:t xml:space="preserve">of God’s redemptive history — specifically the Sinai theophany and the Exodus/conquest tradition — deployed as the basis for the prophet’s confidence that God will act again. The vision functions as a covenant lawsuit in reverse: God’s past faithfulness is called as a witness for the future. This reading is preferred because: (1) the verb tenses in the Hebrew of vv. 3–15 are largely perfective, describing completed acts; (2) the specific geographical and historical allusions (Teman, Paran, Cushan, Midian, the rivers) align with Exodus-conquest traditions; (3) the prayer’s logic moves from</w:t>
      </w:r>
      <w:r>
        <w:t xml:space="preserve"> </w:t>
      </w:r>
      <w:r>
        <w:t xml:space="preserve">“act as you have acted”</w:t>
      </w:r>
      <w:r>
        <w:t xml:space="preserve"> </w:t>
      </w:r>
      <w:r>
        <w:t xml:space="preserve">(v. 2) to</w:t>
      </w:r>
      <w:r>
        <w:t xml:space="preserve"> </w:t>
      </w:r>
      <w:r>
        <w:t xml:space="preserve">“you have acted thus”</w:t>
      </w:r>
      <w:r>
        <w:t xml:space="preserve"> </w:t>
      </w:r>
      <w:r>
        <w:t xml:space="preserve">(vv. 3–15) to</w:t>
      </w:r>
      <w:r>
        <w:t xml:space="preserve"> </w:t>
      </w:r>
      <w:r>
        <w:t xml:space="preserve">“therefore I will wait and rejoice”</w:t>
      </w:r>
      <w:r>
        <w:t xml:space="preserve"> </w:t>
      </w:r>
      <w:r>
        <w:t xml:space="preserve">(vv. 16–19). The eschatological dimension is not absent — the vision anticipates ultimate divine victory — but it operates through the historical pattern, not in spite of it.</w:t>
      </w:r>
    </w:p>
    <w:p>
      <w:pPr>
        <w:pStyle w:val="BodyText"/>
      </w:pPr>
      <w:r>
        <w:rPr>
          <w:b/>
          <w:bCs/>
        </w:rPr>
        <w:t xml:space="preserve">The closing confession (vv. 16–19): resignation, stoicism, or genuine joy?</w:t>
      </w:r>
    </w:p>
    <w:p>
      <w:pPr>
        <w:pStyle w:val="BodyText"/>
      </w:pPr>
      <w:r>
        <w:t xml:space="preserve">Some readers understand Habakkuk’s</w:t>
      </w:r>
      <w:r>
        <w:t xml:space="preserve"> </w:t>
      </w:r>
      <w:r>
        <w:t xml:space="preserve">“yet I will rejoice”</w:t>
      </w:r>
      <w:r>
        <w:t xml:space="preserve"> </w:t>
      </w:r>
      <w:r>
        <w:t xml:space="preserve">as a form of spiritual stoicism — gritting through circumstances by suppressing emotion or cultivating detachment. The Wesleyan-Arminian tradition sometimes reads this as the achievement of mature sanctification, a perfected state of contentment. Both misread the text. Habakkuk explicitly names his physical terror (v. 16:</w:t>
      </w:r>
      <w:r>
        <w:t xml:space="preserve"> </w:t>
      </w:r>
      <w:r>
        <w:t xml:space="preserve">“my body trembles, my lips quiver, rottenness enters into my bones, my legs tremble beneath me”</w:t>
      </w:r>
      <w:r>
        <w:t xml:space="preserve">). This is not detachment — this is a man fully feeling the weight of what is coming. The</w:t>
      </w:r>
      <w:r>
        <w:t xml:space="preserve"> </w:t>
      </w:r>
      <w:r>
        <w:t xml:space="preserve">“yet I will rejoice”</w:t>
      </w:r>
      <w:r>
        <w:t xml:space="preserve"> </w:t>
      </w:r>
      <w:r>
        <w:t xml:space="preserve">is a</w:t>
      </w:r>
      <w:r>
        <w:t xml:space="preserve"> </w:t>
      </w:r>
      <w:r>
        <w:rPr>
          <w:i/>
          <w:iCs/>
        </w:rPr>
        <w:t xml:space="preserve">volitional act of faith over against felt dread</w:t>
      </w:r>
      <w:r>
        <w:t xml:space="preserve">, not an absence of dread. The Reformed reading rightly locates the source of the joy not in the absence of suffering or in achieved spiritual maturity, but in the character and covenant faithfulness of God (</w:t>
      </w:r>
      <w:r>
        <w:t xml:space="preserve">“the God of my salvation,”</w:t>
      </w:r>
      <w:r>
        <w:t xml:space="preserve"> </w:t>
      </w:r>
      <w:r>
        <w:t xml:space="preserve">v. 18;</w:t>
      </w:r>
      <w:r>
        <w:t xml:space="preserve"> </w:t>
      </w:r>
      <w:r>
        <w:t xml:space="preserve">“the LORD God is my strength,”</w:t>
      </w:r>
      <w:r>
        <w:t xml:space="preserve"> </w:t>
      </w:r>
      <w:r>
        <w:t xml:space="preserve">v. 19). This is consistent with Luther’s understanding of</w:t>
      </w:r>
      <w:r>
        <w:t xml:space="preserve"> </w:t>
      </w:r>
      <w:r>
        <w:rPr>
          <w:i/>
          <w:iCs/>
        </w:rPr>
        <w:t xml:space="preserve">Anfechtung</w:t>
      </w:r>
      <w:r>
        <w:t xml:space="preserve"> </w:t>
      </w:r>
      <w:r>
        <w:t xml:space="preserve">— faith not as the absence of struggle but as the decision to trust despite it.</w:t>
      </w:r>
    </w:p>
    <w:p>
      <w:pPr>
        <w:pStyle w:val="BodyText"/>
      </w:pPr>
      <w:r>
        <w:rPr>
          <w:b/>
          <w:bCs/>
        </w:rPr>
        <w:t xml:space="preserve">Verses 17–18: prosperity gospel distortion</w:t>
      </w:r>
    </w:p>
    <w:p>
      <w:pPr>
        <w:pStyle w:val="BodyText"/>
      </w:pPr>
      <w:r>
        <w:t xml:space="preserve">A significant homiletical pitfall, addressed here for interpretive clarity: these verses are sometimes invoked in prosperity-adjacent preaching as an example of trusting God for material restoration — i.e.,</w:t>
      </w:r>
      <w:r>
        <w:t xml:space="preserve"> </w:t>
      </w:r>
      <w:r>
        <w:t xml:space="preserve">“even when the fig tree is bare</w:t>
      </w:r>
      <w:r>
        <w:t xml:space="preserve"> </w:t>
      </w:r>
      <w:r>
        <w:rPr>
          <w:i/>
          <w:iCs/>
        </w:rPr>
        <w:t xml:space="preserve">right now</w:t>
      </w:r>
      <w:r>
        <w:t xml:space="preserve">, God will fill it again.”</w:t>
      </w:r>
      <w:r>
        <w:t xml:space="preserve"> </w:t>
      </w:r>
      <w:r>
        <w:t xml:space="preserve">This inverts the passage’s claim. The confession is not</w:t>
      </w:r>
      <w:r>
        <w:t xml:space="preserve"> </w:t>
      </w:r>
      <w:r>
        <w:t xml:space="preserve">“I will rejoice</w:t>
      </w:r>
      <w:r>
        <w:t xml:space="preserve"> </w:t>
      </w:r>
      <w:r>
        <w:rPr>
          <w:i/>
          <w:iCs/>
        </w:rPr>
        <w:t xml:space="preserve">until</w:t>
      </w:r>
      <w:r>
        <w:t xml:space="preserve"> </w:t>
      </w:r>
      <w:r>
        <w:t xml:space="preserve">the fig tree blooms again.”</w:t>
      </w:r>
      <w:r>
        <w:t xml:space="preserve"> </w:t>
      </w:r>
      <w:r>
        <w:t xml:space="preserve">It is</w:t>
      </w:r>
      <w:r>
        <w:t xml:space="preserve"> </w:t>
      </w:r>
      <w:r>
        <w:t xml:space="preserve">“I will rejoice</w:t>
      </w:r>
      <w:r>
        <w:t xml:space="preserve"> </w:t>
      </w:r>
      <w:r>
        <w:rPr>
          <w:i/>
          <w:iCs/>
        </w:rPr>
        <w:t xml:space="preserve">even if</w:t>
      </w:r>
      <w:r>
        <w:t xml:space="preserve"> </w:t>
      </w:r>
      <w:r>
        <w:t xml:space="preserve">it never does.”</w:t>
      </w:r>
      <w:r>
        <w:t xml:space="preserve"> </w:t>
      </w:r>
      <w:r>
        <w:t xml:space="preserve">The framing of total agricultural devastation is not a temporary condition before breakthrough — it is the assumed backdrop against which genuine worship is defined. The Reformed reading insists that Habakkuk 3:17–19 is a direct assault on any theology that conditions joy and worship on material provision.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33:2; Judges 5:4–5; Psalm 68:7–8</w:t>
      </w:r>
      <w:r>
        <w:t xml:space="preserve"> </w:t>
      </w:r>
      <w:r>
        <w:t xml:space="preserve">— The Sinai theophany tradition that Habakkuk 3 explicitly draws upon; God advancing from the south as warrior-deliverer establishes the canonical pattern Habakkuk is invoking.</w:t>
      </w:r>
    </w:p>
    <w:p>
      <w:pPr>
        <w:numPr>
          <w:ilvl w:val="0"/>
          <w:numId w:val="1001"/>
        </w:numPr>
      </w:pPr>
      <w:r>
        <w:rPr>
          <w:b/>
          <w:bCs/>
        </w:rPr>
        <w:t xml:space="preserve">Psalm 77:11–20</w:t>
      </w:r>
      <w:r>
        <w:t xml:space="preserve"> </w:t>
      </w:r>
      <w:r>
        <w:t xml:space="preserve">— Asaph’s crisis psalm that resolves in the same way:</w:t>
      </w:r>
      <w:r>
        <w:t xml:space="preserve"> </w:t>
      </w:r>
      <w:r>
        <w:t xml:space="preserve">“I will remember the deeds of the LORD… Your way was through the sea, your path through the great waters.”</w:t>
      </w:r>
      <w:r>
        <w:t xml:space="preserve"> </w:t>
      </w:r>
      <w:r>
        <w:t xml:space="preserve">Memory of God’s redemptive acts as the specific remedy for present dread — the closest canonical parallel to Habakkuk 3’s structure.</w:t>
      </w:r>
    </w:p>
    <w:p>
      <w:pPr>
        <w:numPr>
          <w:ilvl w:val="0"/>
          <w:numId w:val="1001"/>
        </w:numPr>
      </w:pPr>
      <w:r>
        <w:rPr>
          <w:b/>
          <w:bCs/>
        </w:rPr>
        <w:t xml:space="preserve">Philippians 4:11–13</w:t>
      </w:r>
      <w:r>
        <w:t xml:space="preserve"> </w:t>
      </w:r>
      <w:r>
        <w:t xml:space="preserve">— Paul’s</w:t>
      </w:r>
      <w:r>
        <w:t xml:space="preserve"> </w:t>
      </w:r>
      <w:r>
        <w:t xml:space="preserve">“I have learned, in whatever state I am, to be content”</w:t>
      </w:r>
      <w:r>
        <w:t xml:space="preserve"> </w:t>
      </w:r>
      <w:r>
        <w:t xml:space="preserve">is the New Testament echo of Habakkuk’s stripped-bare joy; both ground contentment not in circumstances but in a Person (</w:t>
      </w:r>
      <w:r>
        <w:t xml:space="preserve">“through Christ who strengthens me”</w:t>
      </w:r>
      <w:r>
        <w:t xml:space="preserve">), and both use explicitly volitional language.</w:t>
      </w:r>
    </w:p>
    <w:p>
      <w:pPr>
        <w:numPr>
          <w:ilvl w:val="0"/>
          <w:numId w:val="1001"/>
        </w:numPr>
      </w:pPr>
      <w:r>
        <w:rPr>
          <w:b/>
          <w:bCs/>
        </w:rPr>
        <w:t xml:space="preserve">Romans 5:1–5</w:t>
      </w:r>
      <w:r>
        <w:t xml:space="preserve"> </w:t>
      </w:r>
      <w:r>
        <w:t xml:space="preserve">— The progression from suffering to hope, with joy as the fruit not of comfortable circumstances but of the love of God poured out by the Spirit; the</w:t>
      </w:r>
      <w:r>
        <w:t xml:space="preserve"> </w:t>
      </w:r>
      <w:r>
        <w:t xml:space="preserve">“rejoice in hope”</w:t>
      </w:r>
      <w:r>
        <w:t xml:space="preserve"> </w:t>
      </w:r>
      <w:r>
        <w:t xml:space="preserve">of Romans 5 is the New Covenant fulfillment of Habakkuk’s</w:t>
      </w:r>
      <w:r>
        <w:t xml:space="preserve"> </w:t>
      </w:r>
      <w:r>
        <w:t xml:space="preserve">“I will rejoice in the LORD.”</w:t>
      </w:r>
    </w:p>
    <w:p>
      <w:pPr>
        <w:numPr>
          <w:ilvl w:val="0"/>
          <w:numId w:val="1001"/>
        </w:numPr>
      </w:pPr>
      <w:r>
        <w:rPr>
          <w:b/>
          <w:bCs/>
        </w:rPr>
        <w:t xml:space="preserve">Habakkuk 2:4 / Romans 1:17; Galatians 3:11; Hebrews 10:38</w:t>
      </w:r>
      <w:r>
        <w:t xml:space="preserve"> </w:t>
      </w:r>
      <w:r>
        <w:t xml:space="preserve">— The quoted verse from the previous chapter (</w:t>
      </w:r>
      <w:r>
        <w:t xml:space="preserve">“the righteous shall live by his faith”</w:t>
      </w:r>
      <w:r>
        <w:t xml:space="preserve">) is the theological hinge of the entire book; chapter 3 demonstrates what that living-by-faith looks like when pressed to its absolute extreme.</w:t>
      </w:r>
    </w:p>
    <w:p>
      <w:r>
        <w:pict>
          <v:rect style="width:0;height:1.5pt" o:hralign="center" o:hrstd="t" o:hr="t"/>
        </w:pict>
      </w:r>
    </w:p>
    <w:p>
      <w:pPr>
        <w:pStyle w:val="FirstParagraph"/>
      </w:pPr>
      <w:r>
        <w:rPr>
          <w:b/>
          <w:bCs/>
        </w:rPr>
        <w:t xml:space="preserve">Aim:</w:t>
      </w:r>
    </w:p>
    <w:p>
      <w:pPr>
        <w:pStyle w:val="BodyText"/>
      </w:pPr>
      <w:r>
        <w:t xml:space="preserve">To demonstrate that genuine, covenant-grounded joy in God is not contingent on favorable circumstances — and to show the specific theological resources (God’s demonstrated redemptive history, His character, His covenant) that make such joy possible rather than merely demanded.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Superscription:</w:t>
            </w:r>
            <w:r>
              <w:t xml:space="preserve"> </w:t>
            </w:r>
            <w:r>
              <w:rPr>
                <w:i/>
                <w:iCs/>
              </w:rPr>
              <w:t xml:space="preserve">shigionoth</w:t>
            </w:r>
            <w:r>
              <w:t xml:space="preserve"> </w:t>
            </w:r>
            <w:r>
              <w:t xml:space="preserve">— a passionate, irregular liturgical form; Habakkuk identified as the prophet</w:t>
            </w:r>
          </w:p>
        </w:tc>
        <w:tc>
          <w:tcPr/>
          <w:p>
            <w:pPr>
              <w:pStyle w:val="Compact"/>
            </w:pPr>
            <w:r>
              <w:t xml:space="preserve">The genre signals emotional intensity and liturgical function; this is composed for corporate worship</w:t>
            </w:r>
          </w:p>
        </w:tc>
      </w:tr>
      <w:tr>
        <w:tc>
          <w:tcPr/>
          <w:p>
            <w:pPr>
              <w:pStyle w:val="Compact"/>
            </w:pPr>
            <w:r>
              <w:t xml:space="preserve">3:2</w:t>
            </w:r>
          </w:p>
        </w:tc>
        <w:tc>
          <w:tcPr/>
          <w:p>
            <w:pPr>
              <w:pStyle w:val="Compact"/>
            </w:pPr>
            <w:r>
              <w:t xml:space="preserve">Petition: Habakkuk has heard God’s report and is afraid; he asks God to revive His work</w:t>
            </w:r>
            <w:r>
              <w:t xml:space="preserve"> </w:t>
            </w:r>
            <w:r>
              <w:t xml:space="preserve">“in the midst of the years”</w:t>
            </w:r>
            <w:r>
              <w:t xml:space="preserve"> </w:t>
            </w:r>
            <w:r>
              <w:t xml:space="preserve">and to remember mercy in the midst of wrath</w:t>
            </w:r>
          </w:p>
        </w:tc>
        <w:tc>
          <w:tcPr/>
          <w:p>
            <w:pPr>
              <w:pStyle w:val="Compact"/>
            </w:pPr>
            <w:r>
              <w:t xml:space="preserve">“In the midst of the years”</w:t>
            </w:r>
            <w:r>
              <w:t xml:space="preserve"> </w:t>
            </w:r>
            <w:r>
              <w:t xml:space="preserve">likely refers to the coming Babylonian judgment; the request is not to avert it but to act redemptively within it</w:t>
            </w:r>
          </w:p>
        </w:tc>
      </w:tr>
      <w:tr>
        <w:tc>
          <w:tcPr/>
          <w:p>
            <w:pPr>
              <w:pStyle w:val="Compact"/>
            </w:pPr>
            <w:r>
              <w:t xml:space="preserve">3:3–4</w:t>
            </w:r>
          </w:p>
        </w:tc>
        <w:tc>
          <w:tcPr/>
          <w:p>
            <w:pPr>
              <w:pStyle w:val="Compact"/>
            </w:pPr>
            <w:r>
              <w:t xml:space="preserve">God comes from Teman/Paran; His glory covers the heavens; the earth is full of His praise; His radiance is like the sunlight with rays flashing from His hand</w:t>
            </w:r>
          </w:p>
        </w:tc>
        <w:tc>
          <w:tcPr/>
          <w:p>
            <w:pPr>
              <w:pStyle w:val="Compact"/>
            </w:pPr>
            <w:r>
              <w:t xml:space="preserve">Teman and Paran evoke Sinai and the Exodus; this is the theophanic tradition of Israel’s founding redemption</w:t>
            </w:r>
          </w:p>
        </w:tc>
      </w:tr>
      <w:tr>
        <w:tc>
          <w:tcPr/>
          <w:p>
            <w:pPr>
              <w:pStyle w:val="Compact"/>
            </w:pPr>
            <w:r>
              <w:t xml:space="preserve">3:5</w:t>
            </w:r>
          </w:p>
        </w:tc>
        <w:tc>
          <w:tcPr/>
          <w:p>
            <w:pPr>
              <w:pStyle w:val="Compact"/>
            </w:pPr>
            <w:r>
              <w:t xml:space="preserve">Before Him goes pestilence; plague follows at His heels</w:t>
            </w:r>
          </w:p>
        </w:tc>
        <w:tc>
          <w:tcPr/>
          <w:p>
            <w:pPr>
              <w:pStyle w:val="Compact"/>
            </w:pPr>
            <w:r>
              <w:t xml:space="preserve">The Exodus plagues; divine sovereignty extends over all destructive forces</w:t>
            </w:r>
          </w:p>
        </w:tc>
      </w:tr>
      <w:tr>
        <w:tc>
          <w:tcPr/>
          <w:p>
            <w:pPr>
              <w:pStyle w:val="Compact"/>
            </w:pPr>
            <w:r>
              <w:t xml:space="preserve">3:6–7</w:t>
            </w:r>
          </w:p>
        </w:tc>
        <w:tc>
          <w:tcPr/>
          <w:p>
            <w:pPr>
              <w:pStyle w:val="Compact"/>
            </w:pPr>
            <w:r>
              <w:t xml:space="preserve">God stands and measures the earth; He looks and startles the nations; mountains scatter, hills sink low; the tents of Cushan tremble; Midian quivers</w:t>
            </w:r>
          </w:p>
        </w:tc>
        <w:tc>
          <w:tcPr/>
          <w:p>
            <w:pPr>
              <w:pStyle w:val="Compact"/>
            </w:pPr>
            <w:r>
              <w:t xml:space="preserve">Conquest overtones; Cushan and Midian recall the wilderness period and surrounding nations’ dread of Israel’s God</w:t>
            </w:r>
          </w:p>
        </w:tc>
      </w:tr>
      <w:tr>
        <w:tc>
          <w:tcPr/>
          <w:p>
            <w:pPr>
              <w:pStyle w:val="Compact"/>
            </w:pPr>
            <w:r>
              <w:t xml:space="preserve">3:8</w:t>
            </w:r>
          </w:p>
        </w:tc>
        <w:tc>
          <w:tcPr/>
          <w:p>
            <w:pPr>
              <w:pStyle w:val="Compact"/>
            </w:pPr>
            <w:r>
              <w:t xml:space="preserve">Rhetorical question: Was God’s anger against the rivers? His wrath against the sea? Why did He ride His horses, His victorious chariot?</w:t>
            </w:r>
          </w:p>
        </w:tc>
        <w:tc>
          <w:tcPr/>
          <w:p>
            <w:pPr>
              <w:pStyle w:val="Compact"/>
            </w:pPr>
            <w:r>
              <w:t xml:space="preserve">The question implies the answer: No — His action against the waters was for His people’s salvation, not cosmic punishment of water per se</w:t>
            </w:r>
          </w:p>
        </w:tc>
      </w:tr>
      <w:tr>
        <w:tc>
          <w:tcPr/>
          <w:p>
            <w:pPr>
              <w:pStyle w:val="Compact"/>
            </w:pPr>
            <w:r>
              <w:t xml:space="preserve">3:9</w:t>
            </w:r>
          </w:p>
        </w:tc>
        <w:tc>
          <w:tcPr/>
          <w:p>
            <w:pPr>
              <w:pStyle w:val="Compact"/>
            </w:pPr>
            <w:r>
              <w:t xml:space="preserve">God’s bow is made ready; the rivers cleave the earth</w:t>
            </w:r>
          </w:p>
        </w:tc>
        <w:tc>
          <w:tcPr/>
          <w:p>
            <w:pPr>
              <w:pStyle w:val="Compact"/>
            </w:pPr>
            <w:r>
              <w:t xml:space="preserve">The warrior imagery intensifies; the splitting of rivers recalls the Red Sea and the Jordan</w:t>
            </w:r>
          </w:p>
        </w:tc>
      </w:tr>
      <w:tr>
        <w:tc>
          <w:tcPr/>
          <w:p>
            <w:pPr>
              <w:pStyle w:val="Compact"/>
            </w:pPr>
            <w:r>
              <w:t xml:space="preserve">3:10–11</w:t>
            </w:r>
          </w:p>
        </w:tc>
        <w:tc>
          <w:tcPr/>
          <w:p>
            <w:pPr>
              <w:pStyle w:val="Compact"/>
            </w:pPr>
            <w:r>
              <w:t xml:space="preserve">Mountains writhe; the deep gives its voice; the sun and moon stand still</w:t>
            </w:r>
          </w:p>
        </w:tc>
        <w:tc>
          <w:tcPr/>
          <w:p>
            <w:pPr>
              <w:pStyle w:val="Compact"/>
            </w:pPr>
            <w:r>
              <w:t xml:space="preserve">Direct allusion to Joshua 10:12–13 (the long day); cosmic elements pause to accommodate God’s redemptive purposes</w:t>
            </w:r>
          </w:p>
        </w:tc>
      </w:tr>
      <w:tr>
        <w:tc>
          <w:tcPr/>
          <w:p>
            <w:pPr>
              <w:pStyle w:val="Compact"/>
            </w:pPr>
            <w:r>
              <w:t xml:space="preserve">3:12–13</w:t>
            </w:r>
          </w:p>
        </w:tc>
        <w:tc>
          <w:tcPr/>
          <w:p>
            <w:pPr>
              <w:pStyle w:val="Compact"/>
            </w:pPr>
            <w:r>
              <w:t xml:space="preserve">God strides through the earth in fury; He goes forth to save His people, to save His anointed</w:t>
            </w:r>
          </w:p>
        </w:tc>
        <w:tc>
          <w:tcPr/>
          <w:p>
            <w:pPr>
              <w:pStyle w:val="Compact"/>
            </w:pPr>
            <w:r>
              <w:t xml:space="preserve">The climax of the vision: the purpose of all this cosmic fury is declared —</w:t>
            </w:r>
            <w:r>
              <w:t xml:space="preserve"> </w:t>
            </w:r>
            <w:r>
              <w:rPr>
                <w:i/>
                <w:iCs/>
              </w:rPr>
              <w:t xml:space="preserve">salvation of His people</w:t>
            </w:r>
            <w:r>
              <w:t xml:space="preserve">; the word</w:t>
            </w:r>
            <w:r>
              <w:t xml:space="preserve"> </w:t>
            </w:r>
            <w:r>
              <w:t xml:space="preserve">“anointed”</w:t>
            </w:r>
            <w:r>
              <w:t xml:space="preserve"> </w:t>
            </w:r>
            <w:r>
              <w:t xml:space="preserve">may refer to king, to Israel collectively, or anticipate messianic fulfillment</w:t>
            </w:r>
          </w:p>
        </w:tc>
      </w:tr>
      <w:tr>
        <w:tc>
          <w:tcPr/>
          <w:p>
            <w:pPr>
              <w:pStyle w:val="Compact"/>
            </w:pPr>
            <w:r>
              <w:t xml:space="preserve">3:14–15</w:t>
            </w:r>
          </w:p>
        </w:tc>
        <w:tc>
          <w:tcPr/>
          <w:p>
            <w:pPr>
              <w:pStyle w:val="Compact"/>
            </w:pPr>
            <w:r>
              <w:t xml:space="preserve">God pierces the head of the enemy’s house; He tramples the sea with His horses</w:t>
            </w:r>
          </w:p>
        </w:tc>
        <w:tc>
          <w:tcPr/>
          <w:p>
            <w:pPr>
              <w:pStyle w:val="Compact"/>
            </w:pPr>
            <w:r>
              <w:t xml:space="preserve">Imagery echoes Exodus 14–15 (the Song of the Sea); enemies who came to scatter the poor are themselves scattered</w:t>
            </w:r>
          </w:p>
        </w:tc>
      </w:tr>
      <w:tr>
        <w:tc>
          <w:tcPr/>
          <w:p>
            <w:pPr>
              <w:pStyle w:val="Compact"/>
            </w:pPr>
            <w:r>
              <w:t xml:space="preserve">3:16</w:t>
            </w:r>
          </w:p>
        </w:tc>
        <w:tc>
          <w:tcPr/>
          <w:p>
            <w:pPr>
              <w:pStyle w:val="Compact"/>
            </w:pPr>
            <w:r>
              <w:t xml:space="preserve">Habakkuk’s physical response: trembling lips, rottenness in bones, trembling legs; he will quietly wait for the day of trouble to come upon the people who attack them</w:t>
            </w:r>
          </w:p>
        </w:tc>
        <w:tc>
          <w:tcPr/>
          <w:p>
            <w:pPr>
              <w:pStyle w:val="Compact"/>
            </w:pPr>
            <w:r>
              <w:t xml:space="preserve">The prophet is not stoic — he is physically undone; yet the</w:t>
            </w:r>
            <w:r>
              <w:t xml:space="preserve"> </w:t>
            </w:r>
            <w:r>
              <w:rPr>
                <w:i/>
                <w:iCs/>
              </w:rPr>
              <w:t xml:space="preserve">response</w:t>
            </w:r>
            <w:r>
              <w:t xml:space="preserve"> </w:t>
            </w:r>
            <w:r>
              <w:t xml:space="preserve">is deliberate waiting, not panic or despair</w:t>
            </w:r>
          </w:p>
        </w:tc>
      </w:tr>
      <w:tr>
        <w:tc>
          <w:tcPr/>
          <w:p>
            <w:pPr>
              <w:pStyle w:val="Compact"/>
            </w:pPr>
            <w:r>
              <w:t xml:space="preserve">3:17</w:t>
            </w:r>
          </w:p>
        </w:tc>
        <w:tc>
          <w:tcPr/>
          <w:p>
            <w:pPr>
              <w:pStyle w:val="Compact"/>
            </w:pPr>
            <w:r>
              <w:t xml:space="preserve">Even if the fig tree does not blossom, the vine yields no fruit, the olive fails, the fields produce no food, the flock is cut off from the fold, and there are no cattle in the stalls</w:t>
            </w:r>
          </w:p>
        </w:tc>
        <w:tc>
          <w:tcPr/>
          <w:p>
            <w:pPr>
              <w:pStyle w:val="Compact"/>
            </w:pPr>
            <w:r>
              <w:t xml:space="preserve">The most comprehensive possible picture of covenant-blessing reversal; this is the Deuteronomic curse condition</w:t>
            </w:r>
          </w:p>
        </w:tc>
      </w:tr>
      <w:tr>
        <w:tc>
          <w:tcPr/>
          <w:p>
            <w:pPr>
              <w:pStyle w:val="Compact"/>
            </w:pPr>
            <w:r>
              <w:t xml:space="preserve">3:18</w:t>
            </w:r>
          </w:p>
        </w:tc>
        <w:tc>
          <w:tcPr/>
          <w:p>
            <w:pPr>
              <w:pStyle w:val="Compact"/>
            </w:pPr>
            <w:r>
              <w:rPr>
                <w:i/>
                <w:iCs/>
              </w:rPr>
              <w:t xml:space="preserve">Yet I will rejoice in the LORD; I will joy in the God of my salvation</w:t>
            </w:r>
          </w:p>
        </w:tc>
        <w:tc>
          <w:tcPr/>
          <w:p>
            <w:pPr>
              <w:pStyle w:val="Compact"/>
            </w:pPr>
            <w:r>
              <w:t xml:space="preserve">The pivot verse; the</w:t>
            </w:r>
            <w:r>
              <w:t xml:space="preserve"> </w:t>
            </w:r>
            <w:r>
              <w:t xml:space="preserve">“yet”</w:t>
            </w:r>
            <w:r>
              <w:t xml:space="preserve"> </w:t>
            </w:r>
            <w:r>
              <w:t xml:space="preserve">is adversative and decisive; joy is volitional, grounded in God’s identity (</w:t>
            </w:r>
            <w:r>
              <w:t xml:space="preserve">“my salvation”</w:t>
            </w:r>
            <w:r>
              <w:t xml:space="preserve">), not in any received benefit</w:t>
            </w:r>
          </w:p>
        </w:tc>
      </w:tr>
      <w:tr>
        <w:tc>
          <w:tcPr/>
          <w:p>
            <w:pPr>
              <w:pStyle w:val="Compact"/>
            </w:pPr>
            <w:r>
              <w:t xml:space="preserve">3:19a</w:t>
            </w:r>
          </w:p>
        </w:tc>
        <w:tc>
          <w:tcPr/>
          <w:p>
            <w:pPr>
              <w:pStyle w:val="Compact"/>
            </w:pPr>
            <w:r>
              <w:t xml:space="preserve">The LORD God is my strength; He makes my feet like the deer’s; He makes me tread on my high places</w:t>
            </w:r>
          </w:p>
        </w:tc>
        <w:tc>
          <w:tcPr/>
          <w:p>
            <w:pPr>
              <w:pStyle w:val="Compact"/>
            </w:pPr>
            <w:r>
              <w:t xml:space="preserve">Confidence in God as the source of sure-footed endurance;</w:t>
            </w:r>
            <w:r>
              <w:t xml:space="preserve"> </w:t>
            </w:r>
            <w:r>
              <w:t xml:space="preserve">“high places”</w:t>
            </w:r>
            <w:r>
              <w:t xml:space="preserve"> </w:t>
            </w:r>
            <w:r>
              <w:t xml:space="preserve">may echo Deuteronomy 33:29 — the inheritance of victory</w:t>
            </w:r>
          </w:p>
        </w:tc>
      </w:tr>
      <w:tr>
        <w:tc>
          <w:tcPr/>
          <w:p>
            <w:pPr>
              <w:pStyle w:val="Compact"/>
            </w:pPr>
            <w:r>
              <w:t xml:space="preserve">3:19b</w:t>
            </w:r>
          </w:p>
        </w:tc>
        <w:tc>
          <w:tcPr/>
          <w:p>
            <w:pPr>
              <w:pStyle w:val="Compact"/>
            </w:pPr>
            <w:r>
              <w:rPr>
                <w:i/>
                <w:iCs/>
              </w:rPr>
              <w:t xml:space="preserve">To the choirmaster: with stringed instruments</w:t>
            </w:r>
          </w:p>
        </w:tc>
        <w:tc>
          <w:tcPr/>
          <w:p>
            <w:pPr>
              <w:pStyle w:val="Compact"/>
            </w:pPr>
            <w:r>
              <w:t xml:space="preserve">Closing liturgical notation; confirms the chapter was composed for and used in corporate Israelite worship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3:1–2</w:t>
            </w:r>
          </w:p>
        </w:tc>
        <w:tc>
          <w:tcPr/>
          <w:p>
            <w:pPr>
              <w:pStyle w:val="Compact"/>
            </w:pPr>
            <w:r>
              <w:t xml:space="preserve">The Petition: Revive Your work; remember mercy in wrath</w:t>
            </w:r>
          </w:p>
        </w:tc>
      </w:tr>
      <w:tr>
        <w:tc>
          <w:tcPr/>
          <w:p>
            <w:pPr>
              <w:pStyle w:val="Compact"/>
            </w:pPr>
            <w:r>
              <w:t xml:space="preserve">2</w:t>
            </w:r>
          </w:p>
        </w:tc>
        <w:tc>
          <w:tcPr/>
          <w:p>
            <w:pPr>
              <w:pStyle w:val="Compact"/>
            </w:pPr>
            <w:r>
              <w:t xml:space="preserve">3:3–15</w:t>
            </w:r>
          </w:p>
        </w:tc>
        <w:tc>
          <w:tcPr/>
          <w:p>
            <w:pPr>
              <w:pStyle w:val="Compact"/>
            </w:pPr>
            <w:r>
              <w:t xml:space="preserve">The Vision: God the Warrior advancing to save His people</w:t>
            </w:r>
          </w:p>
        </w:tc>
      </w:tr>
      <w:tr>
        <w:tc>
          <w:tcPr/>
          <w:p>
            <w:pPr>
              <w:pStyle w:val="Compact"/>
            </w:pPr>
            <w:r>
              <w:t xml:space="preserve">3</w:t>
            </w:r>
          </w:p>
        </w:tc>
        <w:tc>
          <w:tcPr/>
          <w:p>
            <w:pPr>
              <w:pStyle w:val="Compact"/>
            </w:pPr>
            <w:r>
              <w:t xml:space="preserve">3:16–19</w:t>
            </w:r>
          </w:p>
        </w:tc>
        <w:tc>
          <w:tcPr/>
          <w:p>
            <w:pPr>
              <w:pStyle w:val="Compact"/>
            </w:pPr>
            <w:r>
              <w:t xml:space="preserve">The Resolution: Trembling dread transformed into stripped-bare joy</w:t>
            </w:r>
          </w:p>
        </w:tc>
      </w:tr>
    </w:tbl>
    <w:p>
      <w:r>
        <w:pict>
          <v:rect style="width:0;height:1.5pt" o:hralign="center" o:hrstd="t" o:hr="t"/>
        </w:pict>
      </w:r>
    </w:p>
    <w:p>
      <w:pPr>
        <w:pStyle w:val="FirstParagraph"/>
      </w:pPr>
      <w:r>
        <w:rPr>
          <w:b/>
          <w:bCs/>
        </w:rPr>
        <w:t xml:space="preserve">Subject Sentence (restated):</w:t>
      </w:r>
      <w:r>
        <w:t xml:space="preserve"> </w:t>
      </w:r>
      <w:r>
        <w:t xml:space="preserve">The prophet’s theophanic vision grounds an unwavering, stripped-bare joy in God alone.</w:t>
      </w:r>
    </w:p>
    <w:p>
      <w:pPr>
        <w:pStyle w:val="BodyText"/>
      </w:pPr>
      <w:r>
        <w:rPr>
          <w:b/>
          <w:bCs/>
        </w:rPr>
        <w:t xml:space="preserve">Primary Claim (restated):</w:t>
      </w:r>
      <w:r>
        <w:t xml:space="preserve"> </w:t>
      </w:r>
      <w:r>
        <w:t xml:space="preserve">God is calling His people to a worship that does not require circumstances to cooperate — a joy rooted not in what He gives but in who He is, secured by what He has already done in history.</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Reground your confidence in God’s redemptive track record, not your current experience.</w:t>
      </w:r>
      <w:r>
        <w:t xml:space="preserve"> </w:t>
      </w:r>
      <w:r>
        <w:rPr>
          <w:i/>
          <w:iCs/>
        </w:rPr>
        <w:t xml:space="preserve">(Mind/Belief)</w:t>
      </w:r>
      <w:r>
        <w:t xml:space="preserve"> </w:t>
      </w:r>
      <w:r>
        <w:t xml:space="preserve">Habakkuk does not manufacture joy from thin air — he reviews what God has done (vv. 3–15) before he confesses what he will do (vv. 18–19). The vision is doing theological work: it is rebuilding the foundation of trust on historical fact before the confession of faith is required. When your circumstances give you no reason for confidence, the prescribed move is not to look harder at circumstances — it is to look deliberately at what God has already done in redemptive history, culminating in the cross and resurrection. The empty tomb is your Exodus. Let it function the way Habakkuk’s theophanic vision functioned for him.</w:t>
      </w:r>
    </w:p>
    <w:p>
      <w:pPr>
        <w:pStyle w:val="BodyText"/>
      </w:pPr>
      <w:r>
        <w:rPr>
          <w:b/>
          <w:bCs/>
        </w:rPr>
        <w:t xml:space="preserve">2. Diagnose whether your joy in God is actually joy in God’s gifts.</w:t>
      </w:r>
      <w:r>
        <w:t xml:space="preserve"> </w:t>
      </w:r>
      <w:r>
        <w:rPr>
          <w:i/>
          <w:iCs/>
        </w:rPr>
        <w:t xml:space="preserve">(Affections/Worship)</w:t>
      </w:r>
      <w:r>
        <w:t xml:space="preserve"> </w:t>
      </w:r>
      <w:r>
        <w:t xml:space="preserve">Verses 17–18 function as a diagnostic. The passage invites a question: what would remain of your worship if every agricultural blessing — the biblical shorthand for all material provision and comfort — were stripped away? If the answer is</w:t>
      </w:r>
      <w:r>
        <w:t xml:space="preserve"> </w:t>
      </w:r>
      <w:r>
        <w:t xml:space="preserve">“very little,”</w:t>
      </w:r>
      <w:r>
        <w:t xml:space="preserve"> </w:t>
      </w:r>
      <w:r>
        <w:t xml:space="preserve">then what you have been calling worship is closer to gratitude for goods received than love for a Person. Habakkuk’s confession is radical precisely because it strips away every extrinsic motivation for worship and leaves only God Himself. The question this passage presses is not</w:t>
      </w:r>
      <w:r>
        <w:t xml:space="preserve"> </w:t>
      </w:r>
      <w:r>
        <w:t xml:space="preserve">“do you trust God to provide?”</w:t>
      </w:r>
      <w:r>
        <w:t xml:space="preserve"> </w:t>
      </w:r>
      <w:r>
        <w:t xml:space="preserve">but</w:t>
      </w:r>
      <w:r>
        <w:t xml:space="preserve"> </w:t>
      </w:r>
      <w:r>
        <w:t xml:space="preserve">“do you worship God when He does not?”</w:t>
      </w:r>
    </w:p>
    <w:p>
      <w:pPr>
        <w:pStyle w:val="BodyText"/>
      </w:pPr>
      <w:r>
        <w:rPr>
          <w:b/>
          <w:bCs/>
        </w:rPr>
        <w:t xml:space="preserve">3. Feel the dread fully — and then make the volitional turn.</w:t>
      </w:r>
      <w:r>
        <w:t xml:space="preserve"> </w:t>
      </w:r>
      <w:r>
        <w:rPr>
          <w:i/>
          <w:iCs/>
        </w:rPr>
        <w:t xml:space="preserve">(Affections/Worship)</w:t>
      </w:r>
      <w:r>
        <w:t xml:space="preserve"> </w:t>
      </w:r>
      <w:r>
        <w:t xml:space="preserve">Habakkuk’s body is wrecked by fear in verse 16. His lips quiver, his bones rot, his legs tremble. The text does not tell him to stop feeling that. It does not spiritualize away the physical reality of what is coming. But it models the decision that must follow full feeling:</w:t>
      </w:r>
      <w:r>
        <w:t xml:space="preserve"> </w:t>
      </w:r>
      <w:r>
        <w:t xml:space="preserve">“yet I will quietly wait.”</w:t>
      </w:r>
      <w:r>
        <w:t xml:space="preserve"> </w:t>
      </w:r>
      <w:r>
        <w:t xml:space="preserve">Biblical faith in this passage is not the absence of dread — it is the act of the will that orients the trembling soul toward God rather than toward the terror. Acknowledge your fear with honesty; then refuse to let it have the last word. That refusal is not stoic suppression — it is worship.</w:t>
      </w:r>
    </w:p>
    <w:p>
      <w:pPr>
        <w:pStyle w:val="BodyText"/>
      </w:pPr>
      <w:r>
        <w:rPr>
          <w:b/>
          <w:bCs/>
        </w:rPr>
        <w:t xml:space="preserve">4. Use the language of</w:t>
      </w:r>
      <w:r>
        <w:rPr>
          <w:b/>
          <w:bCs/>
        </w:rPr>
        <w:t xml:space="preserve"> </w:t>
      </w:r>
      <w:r>
        <w:rPr>
          <w:b/>
          <w:bCs/>
        </w:rPr>
        <w:t xml:space="preserve">“yet”</w:t>
      </w:r>
      <w:r>
        <w:rPr>
          <w:b/>
          <w:bCs/>
        </w:rPr>
        <w:t xml:space="preserve"> </w:t>
      </w:r>
      <w:r>
        <w:rPr>
          <w:b/>
          <w:bCs/>
        </w:rPr>
        <w:t xml:space="preserve">in your praying.</w:t>
      </w:r>
      <w:r>
        <w:t xml:space="preserve"> </w:t>
      </w:r>
      <w:r>
        <w:rPr>
          <w:i/>
          <w:iCs/>
        </w:rPr>
        <w:t xml:space="preserve">(Will/Behavior)</w:t>
      </w:r>
      <w:r>
        <w:t xml:space="preserve"> </w:t>
      </w:r>
      <w:r>
        <w:t xml:space="preserve">The adversative</w:t>
      </w:r>
      <w:r>
        <w:t xml:space="preserve"> </w:t>
      </w:r>
      <w:r>
        <w:t xml:space="preserve">“yet I will rejoice”</w:t>
      </w:r>
      <w:r>
        <w:t xml:space="preserve"> </w:t>
      </w:r>
      <w:r>
        <w:t xml:space="preserve">(v. 18) is not accidental — it is a posture to be learned and practiced. Corporate and personal prayer frequently waits for circumstances to improve before moving to praise. Habakkuk’s prayer models the explicit, deliberate movement from lament and dread (</w:t>
      </w:r>
      <w:r>
        <w:t xml:space="preserve">“I heard, and my body trembled,”</w:t>
      </w:r>
      <w:r>
        <w:t xml:space="preserve"> </w:t>
      </w:r>
      <w:r>
        <w:t xml:space="preserve">v. 16) to confessed joy (</w:t>
      </w:r>
      <w:r>
        <w:t xml:space="preserve">“yet I will rejoice,”</w:t>
      </w:r>
      <w:r>
        <w:t xml:space="preserve"> </w:t>
      </w:r>
      <w:r>
        <w:t xml:space="preserve">v. 18) without waiting for the circumstances to change. A concrete application: in whatever form your personal or corporate prayer currently takes, practice naming the unresolved darkness first — and then deliberately crossing to the</w:t>
      </w:r>
      <w:r>
        <w:t xml:space="preserve"> </w:t>
      </w:r>
      <w:r>
        <w:t xml:space="preserve">“yet”</w:t>
      </w:r>
      <w:r>
        <w:t xml:space="preserve"> </w:t>
      </w:r>
      <w:r>
        <w:t xml:space="preserve">before the prayer ends. Not as a formula, but as a trained act of faith.</w:t>
      </w:r>
    </w:p>
    <w:p>
      <w:pPr>
        <w:pStyle w:val="BodyText"/>
      </w:pPr>
      <w:r>
        <w:rPr>
          <w:b/>
          <w:bCs/>
        </w:rPr>
        <w:t xml:space="preserve">5. Preach to yourself the character of God when His gifts are absent.</w:t>
      </w:r>
      <w:r>
        <w:t xml:space="preserve"> </w:t>
      </w:r>
      <w:r>
        <w:rPr>
          <w:i/>
          <w:iCs/>
        </w:rPr>
        <w:t xml:space="preserve">(Mind/Belief)</w:t>
      </w:r>
      <w:r>
        <w:t xml:space="preserve"> </w:t>
      </w:r>
      <w:r>
        <w:t xml:space="preserve">The three names for God in verses 18–19 are not ornamental:</w:t>
      </w:r>
      <w:r>
        <w:t xml:space="preserve"> </w:t>
      </w:r>
      <w:r>
        <w:t xml:space="preserve">“the LORD”</w:t>
      </w:r>
      <w:r>
        <w:t xml:space="preserve"> </w:t>
      </w:r>
      <w:r>
        <w:t xml:space="preserve">(covenant faithfulness, Yahweh),</w:t>
      </w:r>
      <w:r>
        <w:t xml:space="preserve"> </w:t>
      </w:r>
      <w:r>
        <w:t xml:space="preserve">“the God of my salvation”</w:t>
      </w:r>
      <w:r>
        <w:t xml:space="preserve"> </w:t>
      </w:r>
      <w:r>
        <w:t xml:space="preserve">(redemptive purpose), and</w:t>
      </w:r>
      <w:r>
        <w:t xml:space="preserve"> </w:t>
      </w:r>
      <w:r>
        <w:t xml:space="preserve">“the LORD God”</w:t>
      </w:r>
      <w:r>
        <w:t xml:space="preserve"> </w:t>
      </w:r>
      <w:r>
        <w:t xml:space="preserve">(sovereign authority). Habakkuk does not rejoice in abstract theism — he rejoices in the God who is specifically and personally committed to his salvation. When provision is absent, what you need is not more optimism but more precision about</w:t>
      </w:r>
      <w:r>
        <w:t xml:space="preserve"> </w:t>
      </w:r>
      <w:r>
        <w:rPr>
          <w:i/>
          <w:iCs/>
        </w:rPr>
        <w:t xml:space="preserve">who God is</w:t>
      </w:r>
      <w:r>
        <w:t xml:space="preserve">. The prescription is not</w:t>
      </w:r>
      <w:r>
        <w:t xml:space="preserve"> </w:t>
      </w:r>
      <w:r>
        <w:t xml:space="preserve">“trust God more”</w:t>
      </w:r>
      <w:r>
        <w:t xml:space="preserve"> </w:t>
      </w:r>
      <w:r>
        <w:t xml:space="preserve">— it is to rehearse, with specificity, the covenant names and redemptive acts that define who God actually is, and let that rehearsal carry the weight.</w:t>
      </w:r>
    </w:p>
    <w:p>
      <w:r>
        <w:pict>
          <v:rect style="width:0;height:1.5pt" o:hralign="center" o:hrstd="t" o:hr="t"/>
        </w:pict>
      </w:r>
    </w:p>
    <w:p>
      <w:pPr>
        <w:pStyle w:val="FirstParagraph"/>
      </w:pPr>
      <w:r>
        <w:rPr>
          <w:b/>
          <w:bCs/>
        </w:rPr>
        <w:t xml:space="preserve">Theological Importance:</w:t>
      </w:r>
    </w:p>
    <w:p>
      <w:pPr>
        <w:pStyle w:val="BodyText"/>
      </w:pPr>
      <w:r>
        <w:t xml:space="preserve">Habakkuk 3 makes a claim about the nature of God that runs directly against the instinct of fallen human religion: God’s worthiness of worship is entirely independent of His material provision to the worshiper. The theophanic vision establishes God’s absolute sovereignty over creation, history, and the instruments of both judgment and salvation — He halts the sun, cleaves the earth, strides through nations — but the theological climax is not raw power; it is purposeful grace: He goes forth</w:t>
      </w:r>
      <w:r>
        <w:t xml:space="preserve"> </w:t>
      </w:r>
      <w:r>
        <w:t xml:space="preserve">“to save His people, to save His anointed”</w:t>
      </w:r>
      <w:r>
        <w:t xml:space="preserve"> </w:t>
      </w:r>
      <w:r>
        <w:t xml:space="preserve">(v. 13). This God is not merely omnipotent but covenantally committed. The passage also insists that genuine dread and genuine faith are not mutually exclusive; Habakkuk’s trembling in verse 16 is not a failure of faith but its precondition — a man who has genuinely reckoned with what is coming, and who trusts God anyway. God here is shown to be sufficient for worship when He is the</w:t>
      </w:r>
      <w:r>
        <w:t xml:space="preserve"> </w:t>
      </w:r>
      <w:r>
        <w:rPr>
          <w:i/>
          <w:iCs/>
        </w:rPr>
        <w:t xml:space="preserve">only</w:t>
      </w:r>
      <w:r>
        <w:t xml:space="preserve"> </w:t>
      </w:r>
      <w:r>
        <w:t xml:space="preserve">thing left.</w:t>
      </w:r>
    </w:p>
    <w:p>
      <w:r>
        <w:pict>
          <v:rect style="width:0;height:1.5pt" o:hralign="center" o:hrstd="t" o:hr="t"/>
        </w:pict>
      </w:r>
    </w:p>
    <w:p>
      <w:pPr>
        <w:pStyle w:val="FirstParagraph"/>
      </w:pPr>
      <w:r>
        <w:rPr>
          <w:b/>
          <w:bCs/>
        </w:rPr>
        <w:t xml:space="preserve">Reformed Theological Significance:</w:t>
      </w:r>
    </w:p>
    <w:p>
      <w:pPr>
        <w:pStyle w:val="BodyText"/>
      </w:pPr>
      <w:r>
        <w:t xml:space="preserve">Habakkuk 3 is the experiential anatomy of what Habakkuk 2:4 proclaims doctrinally:</w:t>
      </w:r>
      <w:r>
        <w:t xml:space="preserve"> </w:t>
      </w:r>
      <w:r>
        <w:t xml:space="preserve">“the righteous shall live by his faith.”</w:t>
      </w:r>
      <w:r>
        <w:t xml:space="preserve"> </w:t>
      </w:r>
      <w:r>
        <w:t xml:space="preserve">That verse, quoted three times in the New Testament as a foundational statement of justification by faith (Romans 1:17, Galatians 3:11, Hebrews 10:38), is not merely a positional declaration — chapter 3 shows what it looks like to live it out under maximum pressure. The Reformed doctrine of the</w:t>
      </w:r>
      <w:r>
        <w:t xml:space="preserve"> </w:t>
      </w:r>
      <w:r>
        <w:rPr>
          <w:i/>
          <w:iCs/>
        </w:rPr>
        <w:t xml:space="preserve">perseverance of the saints</w:t>
      </w:r>
      <w:r>
        <w:t xml:space="preserve"> </w:t>
      </w:r>
      <w:r>
        <w:t xml:space="preserve">is not a passive doctrine; it is not simply that God keeps His people, but that His people, kept by God, exercise the faith that Habakkuk demonstrates here — a faith that does not require favorable circumstances to remain operative. Furthermore, the passage guards against both the prosperity gospel (joy is not conditioned on material blessing) and moralistic application (the source of Habakkuk’s endurance is not his own spiritual achievement but the God who</w:t>
      </w:r>
      <w:r>
        <w:t xml:space="preserve"> </w:t>
      </w:r>
      <w:r>
        <w:t xml:space="preserve">“makes my feet like the deer’s,”</w:t>
      </w:r>
      <w:r>
        <w:t xml:space="preserve"> </w:t>
      </w:r>
      <w:r>
        <w:t xml:space="preserve">v. 19). The Spirit is doing the work; Habakkuk is walking in it. This is grace operative in sanctification — precisely the Reformed account of how believers endure.</w:t>
      </w:r>
    </w:p>
    <w:p>
      <w:r>
        <w:pict>
          <v:rect style="width:0;height:1.5pt" o:hralign="center" o:hrstd="t" o:hr="t"/>
        </w:pict>
      </w:r>
    </w:p>
    <w:p>
      <w:pPr>
        <w:pStyle w:val="FirstParagraph"/>
      </w:pPr>
      <w:r>
        <w:rPr>
          <w:b/>
          <w:bCs/>
        </w:rPr>
        <w:t xml:space="preserve">Main Takeaway:</w:t>
      </w:r>
    </w:p>
    <w:p>
      <w:pPr>
        <w:pStyle w:val="BodyText"/>
      </w:pPr>
      <w:r>
        <w:t xml:space="preserve">The fig tree is bare, the fields are empty, the livestock are gone — and Habakkuk worships. Not because he has talked himself out of his fear (he hasn’t — his bones are rotting in verse 16), and not because he expects things to turn around quickly, but because he has rehearsed what God has done, who God is, and what God is committed to — and that turns out to be enough. The question this passage puts to you is blunt: when everything God has given you is taken away, is God Himself still enough to worship? If He is not, you have been worshiping the gifts. This passage calls you to the harder, deeper thing — joy in the LORD, not joy in the LORD’s provisions.</w:t>
      </w:r>
    </w:p>
    <w:p>
      <w:r>
        <w:pict>
          <v:rect style="width:0;height:1.5pt" o:hralign="center" o:hrstd="t" o:hr="t"/>
        </w:pict>
      </w:r>
    </w:p>
    <w:bookmarkEnd w:id="14"/>
    <w:bookmarkStart w:id="15" w:name="preachingteaching-pitfalls"/>
    <w:p>
      <w:pPr>
        <w:pStyle w:val="Heading2"/>
      </w:pPr>
      <w:r>
        <w:t xml:space="preserve">Preaching/Teaching Pitfalls</w:t>
      </w:r>
    </w:p>
    <w:p>
      <w:pPr>
        <w:numPr>
          <w:ilvl w:val="0"/>
          <w:numId w:val="1002"/>
        </w:numPr>
      </w:pPr>
      <w:r>
        <w:rPr>
          <w:b/>
          <w:bCs/>
        </w:rPr>
        <w:t xml:space="preserve">Preaching vv. 17–18 as a promise of eventual material restoration.</w:t>
      </w:r>
      <w:r>
        <w:t xml:space="preserve"> </w:t>
      </w:r>
      <w:r>
        <w:t xml:space="preserve">This is the most common mishandling of the passage. The text does not say</w:t>
      </w:r>
      <w:r>
        <w:t xml:space="preserve"> </w:t>
      </w:r>
      <w:r>
        <w:t xml:space="preserve">“rejoice now, and the fig tree will bloom later.”</w:t>
      </w:r>
      <w:r>
        <w:t xml:space="preserve"> </w:t>
      </w:r>
      <w:r>
        <w:t xml:space="preserve">The desolation of verse 17 is not a temporary condition before breakthrough — it is the assumed, permanent backdrop against which true worship is defined. Preaching this passage as a faith-precedes-harvest prosperity text inverts its claim entirely and domesticates what is meant to be a radical call to unconditional worship.</w:t>
      </w:r>
    </w:p>
    <w:p>
      <w:pPr>
        <w:numPr>
          <w:ilvl w:val="0"/>
          <w:numId w:val="1002"/>
        </w:numPr>
      </w:pPr>
      <w:r>
        <w:rPr>
          <w:b/>
          <w:bCs/>
        </w:rPr>
        <w:t xml:space="preserve">Treating Habakkuk’s trembling (v. 16) as a failure to overcome.</w:t>
      </w:r>
      <w:r>
        <w:t xml:space="preserve"> </w:t>
      </w:r>
      <w:r>
        <w:t xml:space="preserve">The physical terror Habakkuk describes is not presented as a spiritual problem he needs to resolve before he can worship. It is presented as the honest context within which worship happens. Preaching that rushes past verse 16 to get to the</w:t>
      </w:r>
      <w:r>
        <w:t xml:space="preserve"> </w:t>
      </w:r>
      <w:r>
        <w:t xml:space="preserve">“good news”</w:t>
      </w:r>
      <w:r>
        <w:t xml:space="preserve"> </w:t>
      </w:r>
      <w:r>
        <w:t xml:space="preserve">of verses 18–19 produces a truncated picture of faith — one that requires people to suppress honest dread rather than acknowledge it and make the volitional turn anyway. The trembling and the joy must both stay in the sermon.</w:t>
      </w:r>
    </w:p>
    <w:p>
      <w:pPr>
        <w:numPr>
          <w:ilvl w:val="0"/>
          <w:numId w:val="1002"/>
        </w:numPr>
      </w:pPr>
      <w:r>
        <w:rPr>
          <w:b/>
          <w:bCs/>
        </w:rPr>
        <w:t xml:space="preserve">Reducing the theophanic vision (vv. 3–15) to mere poetic decoration.</w:t>
      </w:r>
      <w:r>
        <w:t xml:space="preserve"> </w:t>
      </w:r>
      <w:r>
        <w:t xml:space="preserve">The vision is doing load-bearing theological work in the structure of the prayer: it is Habakkuk’s</w:t>
      </w:r>
      <w:r>
        <w:t xml:space="preserve"> </w:t>
      </w:r>
      <w:r>
        <w:rPr>
          <w:i/>
          <w:iCs/>
        </w:rPr>
        <w:t xml:space="preserve">reason</w:t>
      </w:r>
      <w:r>
        <w:t xml:space="preserve"> </w:t>
      </w:r>
      <w:r>
        <w:t xml:space="preserve">for rejoicing, not an interlude before he gets to his reason. If the sermon or study skips or quickly summarizes vv. 3–15 in order to spend time on the memorable verses 17–19, it will produce the confession without the ground — and the congregation will hear</w:t>
      </w:r>
      <w:r>
        <w:t xml:space="preserve"> </w:t>
      </w:r>
      <w:r>
        <w:t xml:space="preserve">“rejoice anyway”</w:t>
      </w:r>
      <w:r>
        <w:t xml:space="preserve"> </w:t>
      </w:r>
      <w:r>
        <w:t xml:space="preserve">as a demand rather than as a possibility anchored in the demonstrated faithfulness of God.</w:t>
      </w:r>
    </w:p>
    <w:p>
      <w:pPr>
        <w:numPr>
          <w:ilvl w:val="0"/>
          <w:numId w:val="1002"/>
        </w:numPr>
      </w:pPr>
      <w:r>
        <w:rPr>
          <w:b/>
          <w:bCs/>
        </w:rPr>
        <w:t xml:space="preserve">Moralistic application:</w:t>
      </w:r>
      <w:r>
        <w:rPr>
          <w:b/>
          <w:bCs/>
        </w:rPr>
        <w:t xml:space="preserve"> </w:t>
      </w:r>
      <w:r>
        <w:rPr>
          <w:b/>
          <w:bCs/>
        </w:rPr>
        <w:t xml:space="preserve">“Be like Habakkuk.”</w:t>
      </w:r>
      <w:r>
        <w:t xml:space="preserve"> </w:t>
      </w:r>
      <w:r>
        <w:t xml:space="preserve">The anti-moralism principle applies directly here. If the sermon’s takeaway is</w:t>
      </w:r>
      <w:r>
        <w:t xml:space="preserve"> </w:t>
      </w:r>
      <w:r>
        <w:t xml:space="preserve">“Habakkuk modeled great faith — we should do the same,”</w:t>
      </w:r>
      <w:r>
        <w:t xml:space="preserve"> </w:t>
      </w:r>
      <w:r>
        <w:t xml:space="preserve">the exposition has become a character-study in admirable religious behavior rather than a proclamation of what makes such faith possible. The source of Habakkuk’s strength is explicitly named in verse 19:</w:t>
      </w:r>
      <w:r>
        <w:t xml:space="preserve"> </w:t>
      </w:r>
      <w:r>
        <w:t xml:space="preserve">“The LORD God is my strength; He makes my feet like the deer’s.”</w:t>
      </w:r>
      <w:r>
        <w:t xml:space="preserve"> </w:t>
      </w:r>
      <w:r>
        <w:t xml:space="preserve">The application must root the call to endurance in God’s enabling, not in the hearer’s imitation of a biblical hero.</w:t>
      </w:r>
    </w:p>
    <w:p>
      <w:pPr>
        <w:numPr>
          <w:ilvl w:val="0"/>
          <w:numId w:val="1002"/>
        </w:numPr>
      </w:pPr>
      <w:r>
        <w:rPr>
          <w:b/>
          <w:bCs/>
        </w:rPr>
        <w:t xml:space="preserve">Neglecting the corporate/liturgical dimension.</w:t>
      </w:r>
      <w:r>
        <w:t xml:space="preserve"> </w:t>
      </w:r>
      <w:r>
        <w:t xml:space="preserve">The superscription (</w:t>
      </w:r>
      <w:r>
        <w:rPr>
          <w:i/>
          <w:iCs/>
        </w:rPr>
        <w:t xml:space="preserve">shigionoth</w:t>
      </w:r>
      <w:r>
        <w:t xml:space="preserve">, v. 1) and the closing notation (</w:t>
      </w:r>
      <w:r>
        <w:t xml:space="preserve">“to the choirmaster, with stringed instruments,”</w:t>
      </w:r>
      <w:r>
        <w:t xml:space="preserve"> </w:t>
      </w:r>
      <w:r>
        <w:t xml:space="preserve">v. 19) establish that this prayer was composed for and used in corporate Israelite worship. Preaching this passage exclusively as a resource for private individual suffering misses that God is shaping a</w:t>
      </w:r>
      <w:r>
        <w:t xml:space="preserve"> </w:t>
      </w:r>
      <w:r>
        <w:rPr>
          <w:i/>
          <w:iCs/>
        </w:rPr>
        <w:t xml:space="preserve">worshiping community</w:t>
      </w:r>
      <w:r>
        <w:t xml:space="preserve"> </w:t>
      </w:r>
      <w:r>
        <w:t xml:space="preserve">— one that learns to sing this confession together, not merely to rehearse it alone. The passage has an ecclesial dimension: the church is called to model, together, a worship that does not depend on national or material flourishing.</w:t>
      </w:r>
    </w:p>
    <w:p>
      <w:pPr>
        <w:numPr>
          <w:ilvl w:val="0"/>
          <w:numId w:val="1002"/>
        </w:numPr>
      </w:pPr>
      <w:r>
        <w:rPr>
          <w:b/>
          <w:bCs/>
        </w:rPr>
        <w:t xml:space="preserve">Failing to connect the theophanic tradition to Christ.</w:t>
      </w:r>
      <w:r>
        <w:t xml:space="preserve"> </w:t>
      </w:r>
      <w:r>
        <w:t xml:space="preserve">The vision of God advancing as warrior to</w:t>
      </w:r>
      <w:r>
        <w:t xml:space="preserve"> </w:t>
      </w:r>
      <w:r>
        <w:t xml:space="preserve">“save His anointed”</w:t>
      </w:r>
      <w:r>
        <w:t xml:space="preserve"> </w:t>
      </w:r>
      <w:r>
        <w:t xml:space="preserve">(v. 13) has a trajectory in canonical context that culminates in Christ — the ultimate anointed one, the one through whom God’s final rescue of His people is accomplished. The Reformed-homiletical imperative is not to force a Christological reading where the text resists it, but neither to stop short of the canonical fulfillment the text anticipates. Habakkuk’s confidence that God will act again is vindicated most fully at the cross and resurrection — which become, for New Covenant believers, the ultimate ground of the</w:t>
      </w:r>
      <w:r>
        <w:t xml:space="preserve"> </w:t>
      </w:r>
      <w:r>
        <w:t xml:space="preserve">“yet I will rejoice.”</w:t>
      </w:r>
    </w:p>
    <w:p>
      <w:r>
        <w:pict>
          <v:rect style="width:0;height:1.5pt" o:hralign="center" o:hrstd="t" o:hr="t"/>
        </w:pict>
      </w:r>
    </w:p>
    <w:p>
      <w:pPr>
        <w:pStyle w:val="FirstParagraph"/>
      </w:pPr>
      <w:r>
        <w:rPr>
          <w:i/>
          <w:iCs/>
        </w:rPr>
        <w:t xml:space="preserve">Document: 36 Habakkuk 03.docx</w:t>
      </w: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2026-07-14T21:06:53Z</dcterms:created>
  <dcterms:modified xsi:type="dcterms:W3CDTF">2026-07-14T21:06:53Z</dcterms:modified>
</cp:coreProperties>
</file>

<file path=docProps/custom.xml><?xml version="1.0" encoding="utf-8"?>
<Properties xmlns="http://schemas.openxmlformats.org/officeDocument/2006/custom-properties" xmlns:vt="http://schemas.openxmlformats.org/officeDocument/2006/docPropsVTypes"/>
</file>